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240" w:after="1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REGULAMIN ORGANIZACYJNY PODMIOTU LECZNICZEGO</w:t>
      </w:r>
    </w:p>
    <w:p>
      <w:pPr>
        <w:pStyle w:val="Normal"/>
        <w:spacing w:before="240" w:after="1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[</w:t>
      </w:r>
      <w:r>
        <w:rPr>
          <w:rFonts w:cs="Arial" w:ascii="Arial" w:hAnsi="Arial"/>
          <w:b/>
          <w:bCs/>
          <w:sz w:val="20"/>
          <w:szCs w:val="20"/>
          <w:highlight w:val="yellow"/>
        </w:rPr>
        <w:t>DENTAL DOCTOR SPÓŁKA Z OGRANICZONĄ ODPOWIEDZIALNOŚCIĄ</w:t>
      </w:r>
      <w:r>
        <w:rPr>
          <w:rFonts w:cs="Arial" w:ascii="Arial" w:hAnsi="Arial"/>
          <w:b/>
          <w:bCs/>
          <w:sz w:val="20"/>
          <w:szCs w:val="20"/>
        </w:rPr>
        <w:t>]</w:t>
      </w:r>
    </w:p>
    <w:p>
      <w:pPr>
        <w:pStyle w:val="Normal"/>
        <w:spacing w:before="240" w:after="1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before="240" w:after="160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POSTANOWIENIA OGÓLNE</w:t>
      </w:r>
    </w:p>
    <w:p>
      <w:pPr>
        <w:pStyle w:val="ListParagraph"/>
        <w:numPr>
          <w:ilvl w:val="1"/>
          <w:numId w:val="1"/>
        </w:numPr>
        <w:spacing w:before="240" w:after="160"/>
        <w:ind w:hanging="491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Podmiot Leczniczy działa pod nazwą [</w:t>
      </w:r>
      <w:r>
        <w:rPr>
          <w:rFonts w:cs="Arial" w:ascii="Arial" w:hAnsi="Arial"/>
          <w:sz w:val="20"/>
          <w:szCs w:val="20"/>
          <w:highlight w:val="yellow"/>
        </w:rPr>
        <w:t>DENTAL DOCTOR SPÓŁKA Z OGRANICZONĄ ODPOWIEDZIALNOŚCIĄ</w:t>
      </w:r>
      <w:r>
        <w:rPr>
          <w:rFonts w:cs="Arial" w:ascii="Arial" w:hAnsi="Arial"/>
          <w:sz w:val="20"/>
          <w:szCs w:val="20"/>
        </w:rPr>
        <w:t>] z siedzibą w Nowym Dworze Mazowieckim, ul. Modlińska 1 lok. U7, 05-100 Nowy Dwór Mazowiecki wpisana do rejestru przedsiębiorców – Krajowego Rejestru Sądowego pod nr NIP: 5311713360 REGON: , adres e-mail: gabinet@dentaldoctor.pl, numer telefonu: 530211111 zwany dalej „</w:t>
      </w:r>
      <w:r>
        <w:rPr>
          <w:rFonts w:cs="Arial" w:ascii="Arial" w:hAnsi="Arial"/>
          <w:b/>
          <w:bCs/>
          <w:sz w:val="20"/>
          <w:szCs w:val="20"/>
        </w:rPr>
        <w:t>Podmiotem Leczniczym</w:t>
      </w:r>
      <w:r>
        <w:rPr>
          <w:rFonts w:cs="Arial" w:ascii="Arial" w:hAnsi="Arial"/>
          <w:sz w:val="20"/>
          <w:szCs w:val="20"/>
        </w:rPr>
        <w:t>”, wpisany do Rejestru Podmiotów Wykonujących Działalność Leczniczą pod numerem 000000248594.</w:t>
      </w:r>
    </w:p>
    <w:p>
      <w:pPr>
        <w:pStyle w:val="ListParagraph"/>
        <w:numPr>
          <w:ilvl w:val="1"/>
          <w:numId w:val="1"/>
        </w:numPr>
        <w:spacing w:before="240" w:after="160"/>
        <w:ind w:hanging="491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Podmiot Leczniczy wykonują działalność leczniczą pod nazwą „</w:t>
      </w:r>
      <w:r>
        <w:rPr>
          <w:rFonts w:cs="Arial" w:ascii="Arial" w:hAnsi="Arial"/>
          <w:b/>
          <w:bCs/>
          <w:sz w:val="20"/>
          <w:szCs w:val="20"/>
        </w:rPr>
        <w:t>Dental Doctor</w:t>
      </w:r>
      <w:r>
        <w:rPr>
          <w:rFonts w:cs="Arial" w:ascii="Arial" w:hAnsi="Arial"/>
          <w:sz w:val="20"/>
          <w:szCs w:val="20"/>
        </w:rPr>
        <w:t>”.</w:t>
      </w:r>
    </w:p>
    <w:p>
      <w:pPr>
        <w:pStyle w:val="ListParagraph"/>
        <w:numPr>
          <w:ilvl w:val="1"/>
          <w:numId w:val="1"/>
        </w:numPr>
        <w:spacing w:before="240" w:after="160"/>
        <w:ind w:hanging="491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Regulamin organizacyjny Podmiotu Leczniczego zwany dalej „Regulaminem” określa w szczególności:</w:t>
      </w:r>
    </w:p>
    <w:p>
      <w:pPr>
        <w:pStyle w:val="ListParagraph"/>
        <w:numPr>
          <w:ilvl w:val="2"/>
          <w:numId w:val="1"/>
        </w:numPr>
        <w:spacing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Przebieg procesu udzielania świadczeń zdrowotnych;</w:t>
      </w:r>
    </w:p>
    <w:p>
      <w:pPr>
        <w:pStyle w:val="ListParagraph"/>
        <w:numPr>
          <w:ilvl w:val="2"/>
          <w:numId w:val="1"/>
        </w:numPr>
        <w:spacing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Organizacje i zadania poszczególnych jednostek organizacyjnych Podmiotu Leczniczego;</w:t>
      </w:r>
    </w:p>
    <w:p>
      <w:pPr>
        <w:pStyle w:val="ListParagraph"/>
        <w:numPr>
          <w:ilvl w:val="2"/>
          <w:numId w:val="1"/>
        </w:numPr>
        <w:spacing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Warunki współdziałania między jednostkami;</w:t>
      </w:r>
    </w:p>
    <w:p>
      <w:pPr>
        <w:pStyle w:val="ListParagraph"/>
        <w:numPr>
          <w:ilvl w:val="2"/>
          <w:numId w:val="1"/>
        </w:numPr>
        <w:spacing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Wysokość opłaty za udostępnienie dokumentacji medycznej;</w:t>
      </w:r>
    </w:p>
    <w:p>
      <w:pPr>
        <w:pStyle w:val="ListParagraph"/>
        <w:numPr>
          <w:ilvl w:val="2"/>
          <w:numId w:val="1"/>
        </w:numPr>
        <w:spacing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Organizację procesu udzielania świadczeń zdrowotnych;</w:t>
      </w:r>
    </w:p>
    <w:p>
      <w:pPr>
        <w:pStyle w:val="ListParagraph"/>
        <w:numPr>
          <w:ilvl w:val="2"/>
          <w:numId w:val="1"/>
        </w:numPr>
        <w:spacing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Sposób kierowania jednostkami organizacyjnymi Podmiotu Leczniczego.</w:t>
      </w:r>
    </w:p>
    <w:p>
      <w:pPr>
        <w:pStyle w:val="ListParagraph"/>
        <w:spacing w:before="240" w:after="160"/>
        <w:ind w:left="792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before="240" w:after="160"/>
        <w:contextualSpacing w:val="false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PODSTAWY PRAWNE</w:t>
      </w:r>
    </w:p>
    <w:p>
      <w:pPr>
        <w:pStyle w:val="ListParagraph"/>
        <w:numPr>
          <w:ilvl w:val="1"/>
          <w:numId w:val="1"/>
        </w:numPr>
        <w:spacing w:before="240" w:after="160"/>
        <w:ind w:hanging="491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Podmiot Leczniczy działa na podstawie obowiązujących powszechnie przepisów prawa oraz wdrożonych regulacji wewnętrznych, w szczególności:</w:t>
      </w:r>
    </w:p>
    <w:p>
      <w:pPr>
        <w:pStyle w:val="ListParagraph"/>
        <w:numPr>
          <w:ilvl w:val="2"/>
          <w:numId w:val="1"/>
        </w:numPr>
        <w:suppressAutoHyphens w:val="false"/>
        <w:spacing w:lineRule="auto" w:line="276"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ustawy z dnia 15 kwietnia 2011 r. o działalności leczniczej (t.j. Dz.U. z 2022 r., poz. 633);</w:t>
      </w:r>
    </w:p>
    <w:p>
      <w:pPr>
        <w:pStyle w:val="ListParagraph"/>
        <w:numPr>
          <w:ilvl w:val="2"/>
          <w:numId w:val="1"/>
        </w:numPr>
        <w:spacing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ustawy z dnia 5 grudnia 1996 r. o zawodach lekarza i lekarza dentysty (t.j. Dz.U. z 2021 r., poz. 790 z późn. zm.);</w:t>
      </w:r>
    </w:p>
    <w:p>
      <w:pPr>
        <w:pStyle w:val="ListParagraph"/>
        <w:numPr>
          <w:ilvl w:val="2"/>
          <w:numId w:val="1"/>
        </w:numPr>
        <w:spacing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ustawy z dnia 6 listopada 2008 r. o prawach pacjenta i Rzeczniku Praw Pacjenta (t.j. Dz.U. z 2020, poz. 849 z późn. zm.);</w:t>
      </w:r>
    </w:p>
    <w:p>
      <w:pPr>
        <w:pStyle w:val="ListParagraph"/>
        <w:numPr>
          <w:ilvl w:val="2"/>
          <w:numId w:val="1"/>
        </w:numPr>
        <w:suppressAutoHyphens w:val="false"/>
        <w:spacing w:lineRule="auto" w:line="276"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aktów wykonawczych wydanych na podstawie ustaw wymienionych w powyżej;</w:t>
      </w:r>
    </w:p>
    <w:p>
      <w:pPr>
        <w:pStyle w:val="ListParagraph"/>
        <w:numPr>
          <w:ilvl w:val="2"/>
          <w:numId w:val="1"/>
        </w:numPr>
        <w:spacing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Regulaminu.</w:t>
      </w:r>
    </w:p>
    <w:p>
      <w:pPr>
        <w:pStyle w:val="ListParagraph"/>
        <w:spacing w:before="240" w:after="160"/>
        <w:ind w:left="1418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before="240" w:after="160"/>
        <w:contextualSpacing w:val="false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CELE I ZADANIA PODMIOTU LECZNICZEGO</w:t>
      </w:r>
    </w:p>
    <w:p>
      <w:pPr>
        <w:pStyle w:val="ListParagraph"/>
        <w:numPr>
          <w:ilvl w:val="1"/>
          <w:numId w:val="1"/>
        </w:numPr>
        <w:spacing w:before="240" w:after="160"/>
        <w:ind w:hanging="491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Celem Podmiotu Leczniczego jest wykonywanie działalności leczniczej w rodzaju ambulatoryjnej opieki zdrowotnej oraz działanie na rzecz ochrony zdrowia, poprzez udzielanie świadczeń zdrowotnych w obszarze stomatologii.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76" w:before="240" w:after="160"/>
        <w:ind w:hanging="491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Do zadań Podmiotu należy w szczególności:</w:t>
      </w:r>
    </w:p>
    <w:p>
      <w:pPr>
        <w:pStyle w:val="ListParagraph"/>
        <w:numPr>
          <w:ilvl w:val="2"/>
          <w:numId w:val="1"/>
        </w:numPr>
        <w:suppressAutoHyphens w:val="false"/>
        <w:spacing w:lineRule="auto" w:line="276"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udzielanie ambulatoryjnych świadczeń zdrowotnych z zakresu leczenia stomatologicznego;</w:t>
      </w:r>
    </w:p>
    <w:p>
      <w:pPr>
        <w:pStyle w:val="ListParagraph"/>
        <w:numPr>
          <w:ilvl w:val="2"/>
          <w:numId w:val="1"/>
        </w:numPr>
        <w:suppressAutoHyphens w:val="false"/>
        <w:spacing w:lineRule="auto" w:line="276"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udzielanie indywidualnych porad i konsultacji;</w:t>
      </w:r>
    </w:p>
    <w:p>
      <w:pPr>
        <w:pStyle w:val="ListParagraph"/>
        <w:numPr>
          <w:ilvl w:val="2"/>
          <w:numId w:val="1"/>
        </w:numPr>
        <w:suppressAutoHyphens w:val="false"/>
        <w:spacing w:lineRule="auto" w:line="276"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prowadzenie dokumentacji medycznej;</w:t>
      </w:r>
    </w:p>
    <w:p>
      <w:pPr>
        <w:pStyle w:val="ListParagraph"/>
        <w:numPr>
          <w:ilvl w:val="2"/>
          <w:numId w:val="1"/>
        </w:numPr>
        <w:suppressAutoHyphens w:val="false"/>
        <w:spacing w:lineRule="auto" w:line="276"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współpraca z innymi podmiotami leczniczymi;</w:t>
      </w:r>
    </w:p>
    <w:p>
      <w:pPr>
        <w:pStyle w:val="ListParagraph"/>
        <w:numPr>
          <w:ilvl w:val="2"/>
          <w:numId w:val="1"/>
        </w:numPr>
        <w:spacing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dbanie o jakość i bezpieczeństwo leczenia. </w:t>
      </w:r>
    </w:p>
    <w:p>
      <w:pPr>
        <w:pStyle w:val="Normal"/>
        <w:spacing w:before="240" w:after="1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before="240" w:after="160"/>
        <w:contextualSpacing w:val="false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ZAKRES I MIEJSCE UDZIELANYCH ŚWIADCZEŃ</w:t>
      </w:r>
    </w:p>
    <w:p>
      <w:pPr>
        <w:pStyle w:val="ListParagraph"/>
        <w:numPr>
          <w:ilvl w:val="1"/>
          <w:numId w:val="1"/>
        </w:numPr>
        <w:spacing w:before="240" w:after="160"/>
        <w:ind w:hanging="491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Podmiot Leczniczy wykonuje działalność leczniczą w rodzaju: ambulatoryjne świadczenia zdrowotne.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76" w:before="240" w:after="160"/>
        <w:ind w:hanging="491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Podmiot wykonuje działalność w zakresie:</w:t>
      </w:r>
    </w:p>
    <w:p>
      <w:pPr>
        <w:pStyle w:val="ListParagraph"/>
        <w:numPr>
          <w:ilvl w:val="2"/>
          <w:numId w:val="1"/>
        </w:numPr>
        <w:suppressAutoHyphens w:val="false"/>
        <w:spacing w:lineRule="auto" w:line="276"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Leczenie stomatologiczne – ortodoncja;</w:t>
      </w:r>
    </w:p>
    <w:p>
      <w:pPr>
        <w:pStyle w:val="ListParagraph"/>
        <w:numPr>
          <w:ilvl w:val="2"/>
          <w:numId w:val="1"/>
        </w:numPr>
        <w:suppressAutoHyphens w:val="false"/>
        <w:spacing w:lineRule="auto" w:line="276"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Leczenie stomatologiczne – protetyka stomatologiczna;</w:t>
      </w:r>
    </w:p>
    <w:p>
      <w:pPr>
        <w:pStyle w:val="ListParagraph"/>
        <w:numPr>
          <w:ilvl w:val="2"/>
          <w:numId w:val="1"/>
        </w:numPr>
        <w:suppressAutoHyphens w:val="false"/>
        <w:spacing w:lineRule="auto" w:line="276"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Leczenie stomatologiczne – stomatologia zachowawcza z endodoncją;</w:t>
      </w:r>
    </w:p>
    <w:p>
      <w:pPr>
        <w:pStyle w:val="ListParagraph"/>
        <w:numPr>
          <w:ilvl w:val="2"/>
          <w:numId w:val="1"/>
        </w:numPr>
        <w:suppressAutoHyphens w:val="false"/>
        <w:spacing w:lineRule="auto" w:line="276"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Leczenie stomatologiczne – stomatologia dziecięca;</w:t>
      </w:r>
    </w:p>
    <w:p>
      <w:pPr>
        <w:pStyle w:val="ListParagraph"/>
        <w:numPr>
          <w:ilvl w:val="2"/>
          <w:numId w:val="1"/>
        </w:numPr>
        <w:suppressAutoHyphens w:val="false"/>
        <w:spacing w:lineRule="auto" w:line="276"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Leczenie stomatologiczne – periodontologia;</w:t>
      </w:r>
    </w:p>
    <w:p>
      <w:pPr>
        <w:pStyle w:val="ListParagraph"/>
        <w:numPr>
          <w:ilvl w:val="2"/>
          <w:numId w:val="1"/>
        </w:numPr>
        <w:suppressAutoHyphens w:val="false"/>
        <w:spacing w:lineRule="auto" w:line="276"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Leczenie stomatologiczne – implantologia;</w:t>
      </w:r>
    </w:p>
    <w:p>
      <w:pPr>
        <w:pStyle w:val="ListParagraph"/>
        <w:numPr>
          <w:ilvl w:val="2"/>
          <w:numId w:val="1"/>
        </w:numPr>
        <w:suppressAutoHyphens w:val="false"/>
        <w:spacing w:lineRule="auto" w:line="276"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Leczenie stomatologiczne – chirurgia stomatologiczna;</w:t>
      </w:r>
    </w:p>
    <w:p>
      <w:pPr>
        <w:pStyle w:val="ListParagraph"/>
        <w:numPr>
          <w:ilvl w:val="2"/>
          <w:numId w:val="1"/>
        </w:numPr>
        <w:suppressAutoHyphens w:val="false"/>
        <w:spacing w:lineRule="auto" w:line="276"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Leczenie stomatologiczne – radiologia i diagnostyka obrazowa.</w:t>
      </w:r>
    </w:p>
    <w:p>
      <w:pPr>
        <w:pStyle w:val="ListParagraph"/>
        <w:numPr>
          <w:ilvl w:val="1"/>
          <w:numId w:val="1"/>
        </w:numPr>
        <w:spacing w:before="240" w:after="160"/>
        <w:ind w:hanging="491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Świadczenia udzielane są stacjonarnie w placówce pod adresem:</w:t>
      </w:r>
      <w:r>
        <w:rPr>
          <w:rFonts w:cs="Arial" w:ascii="Arial" w:hAnsi="Arial"/>
          <w:b/>
          <w:bCs/>
          <w:sz w:val="20"/>
          <w:szCs w:val="20"/>
        </w:rPr>
        <w:t xml:space="preserve"> ul. Modlińska 1 lok. U7, 05-100 Nowy Dwór Mazowiecki.</w:t>
      </w:r>
    </w:p>
    <w:p>
      <w:pPr>
        <w:pStyle w:val="ListParagraph"/>
        <w:numPr>
          <w:ilvl w:val="1"/>
          <w:numId w:val="1"/>
        </w:numPr>
        <w:spacing w:before="240" w:after="160"/>
        <w:ind w:hanging="491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Świadczenia zdrowotne udzielane są w lokalizacjach określonych w ust. powyżej, w następujące dni tygodnia: 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843" w:leader="none"/>
        </w:tabs>
        <w:spacing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poniedziałek – piątek (w godzinach 9.00-20.00);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843" w:leader="none"/>
        </w:tabs>
        <w:spacing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soboty (w godzinach 9.00-14.00).</w:t>
      </w:r>
    </w:p>
    <w:p>
      <w:pPr>
        <w:pStyle w:val="ListParagraph"/>
        <w:spacing w:before="240" w:after="160"/>
        <w:ind w:left="1224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before="240" w:after="160"/>
        <w:contextualSpacing w:val="false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STRUKTURA ORGANIZACYJNA PODMIOTU LECZNICZEGO I SPOSÓB KIEROWANIA JEDNOSTKAMI I KOMÓRKAMI ORGANIZACYJNYMI PODMIOTU LECZNICZEGO</w:t>
      </w:r>
    </w:p>
    <w:p>
      <w:pPr>
        <w:pStyle w:val="ListParagraph"/>
        <w:numPr>
          <w:ilvl w:val="1"/>
          <w:numId w:val="1"/>
        </w:numPr>
        <w:spacing w:before="240" w:after="160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Podmiotem Leczniczym kieruje zarząd Podmiotu Leczniczego – w rozumieniu przepisów ustawy z dnia 15 kwietnia 2011 r. o działalności leczniczej (dalej „</w:t>
      </w:r>
      <w:r>
        <w:rPr>
          <w:rFonts w:cs="Arial" w:ascii="Arial" w:hAnsi="Arial"/>
          <w:b/>
          <w:bCs/>
          <w:sz w:val="20"/>
          <w:szCs w:val="20"/>
        </w:rPr>
        <w:t>Zarząd</w:t>
      </w:r>
      <w:r>
        <w:rPr>
          <w:rFonts w:cs="Arial" w:ascii="Arial" w:hAnsi="Arial"/>
          <w:sz w:val="20"/>
          <w:szCs w:val="20"/>
        </w:rPr>
        <w:t>”). Do Zarządu należy zapewnienie prawidłowego działania Podmiotu Leczniczego, jednostek oraz komórek organizacyjnych działających w jego strukturze, w tym w szczególności:</w:t>
      </w:r>
    </w:p>
    <w:p>
      <w:pPr>
        <w:pStyle w:val="ListParagraph"/>
        <w:numPr>
          <w:ilvl w:val="2"/>
          <w:numId w:val="1"/>
        </w:numPr>
        <w:spacing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nadzór nad jakością udzielanych świadczeń zdrowotnych;</w:t>
      </w:r>
    </w:p>
    <w:p>
      <w:pPr>
        <w:pStyle w:val="ListParagraph"/>
        <w:numPr>
          <w:ilvl w:val="2"/>
          <w:numId w:val="1"/>
        </w:numPr>
        <w:spacing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kontrola wykonywania zadań przez podległych pracowników/współpracowników oraz kontrola przestrzegania obowiązujących przepisów prawa;</w:t>
      </w:r>
    </w:p>
    <w:p>
      <w:pPr>
        <w:pStyle w:val="ListParagraph"/>
        <w:numPr>
          <w:ilvl w:val="2"/>
          <w:numId w:val="1"/>
        </w:numPr>
        <w:spacing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zachęcanie pracowników/współpracowników do podnoszenia kwalifikacji zawodowych;</w:t>
      </w:r>
    </w:p>
    <w:p>
      <w:pPr>
        <w:pStyle w:val="ListParagraph"/>
        <w:numPr>
          <w:ilvl w:val="2"/>
          <w:numId w:val="1"/>
        </w:numPr>
        <w:spacing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zgłaszanie właściwym organom przypadków naruszenia zasad etyki przez podległych pracowników/współpracowników.</w:t>
      </w:r>
    </w:p>
    <w:p>
      <w:pPr>
        <w:pStyle w:val="ListParagraph"/>
        <w:numPr>
          <w:ilvl w:val="1"/>
          <w:numId w:val="1"/>
        </w:numPr>
        <w:spacing w:before="240" w:after="160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 ramach Podmiotu Leczniczego funkcjonują zakłady lecznicze (dalej „</w:t>
      </w:r>
      <w:r>
        <w:rPr>
          <w:rFonts w:cs="Arial" w:ascii="Arial" w:hAnsi="Arial"/>
          <w:b/>
          <w:bCs/>
          <w:sz w:val="20"/>
          <w:szCs w:val="20"/>
        </w:rPr>
        <w:t>Zakłady Lecznicze</w:t>
      </w:r>
      <w:r>
        <w:rPr>
          <w:rFonts w:cs="Arial" w:ascii="Arial" w:hAnsi="Arial"/>
          <w:sz w:val="20"/>
          <w:szCs w:val="20"/>
        </w:rPr>
        <w:t>”): DENTAL DOCTOR przy ul. Modlińska 1 lok. U7, 05-100 Nowy Dwór Mazowiecki.</w:t>
      </w:r>
    </w:p>
    <w:p>
      <w:pPr>
        <w:pStyle w:val="ListParagraph"/>
        <w:numPr>
          <w:ilvl w:val="1"/>
          <w:numId w:val="1"/>
        </w:numPr>
        <w:spacing w:before="240" w:after="160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 Zakładach Leczniczych funkcjonują jednostki organizacyjne: DENTAL DOCTOR (nazwa zakładu) – DENTAL DOCTOR (nazwa jednostki).</w:t>
      </w:r>
    </w:p>
    <w:p>
      <w:pPr>
        <w:pStyle w:val="Normal"/>
        <w:spacing w:before="240" w:after="1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before="240" w:after="160"/>
        <w:contextualSpacing w:val="false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PRZEBIEG PROCEDU UDZIELANIA ŚWIADCZEŃ ZDROWOTNYCH</w:t>
      </w:r>
    </w:p>
    <w:p>
      <w:pPr>
        <w:pStyle w:val="ListParagraph"/>
        <w:numPr>
          <w:ilvl w:val="1"/>
          <w:numId w:val="1"/>
        </w:numPr>
        <w:spacing w:before="240" w:after="160"/>
        <w:ind w:hanging="567" w:left="1134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Świadczenia zdrowotne są udzielane przez osoby posiadające wymagane kwalifikacje i uprawnienia, zgodnie z profilem działalności poszczególnych komórek organizacyjnych.</w:t>
      </w:r>
    </w:p>
    <w:p>
      <w:pPr>
        <w:pStyle w:val="ListParagraph"/>
        <w:numPr>
          <w:ilvl w:val="1"/>
          <w:numId w:val="1"/>
        </w:numPr>
        <w:spacing w:before="240" w:after="160"/>
        <w:ind w:hanging="567" w:left="1134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Świadczenia realizowane są z należytą starannością, zgodnie z obowiązującymi przepisami, aktualną wiedzą medyczną, zasadami etyki zawodowej oraz z poszanowaniem praw pacjenta. </w:t>
      </w:r>
    </w:p>
    <w:p>
      <w:pPr>
        <w:pStyle w:val="ListParagraph"/>
        <w:numPr>
          <w:ilvl w:val="1"/>
          <w:numId w:val="1"/>
        </w:numPr>
        <w:spacing w:before="240" w:after="160"/>
        <w:ind w:hanging="567" w:left="1134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Podmiot Leczniczy stale podejmuje działania na rzecz podnoszenia jakości świadczonych usług i kwalifikacji personelu.</w:t>
      </w:r>
    </w:p>
    <w:p>
      <w:pPr>
        <w:pStyle w:val="ListParagraph"/>
        <w:numPr>
          <w:ilvl w:val="1"/>
          <w:numId w:val="1"/>
        </w:numPr>
        <w:spacing w:before="240" w:after="160"/>
        <w:ind w:hanging="567" w:left="1134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Udzielenie świadczenia wymaga uprzedniej, świadomej zgody pacjenta lub jego przedstawiciela ustawowego. </w:t>
      </w:r>
    </w:p>
    <w:p>
      <w:pPr>
        <w:pStyle w:val="ListParagraph"/>
        <w:numPr>
          <w:ilvl w:val="1"/>
          <w:numId w:val="1"/>
        </w:numPr>
        <w:spacing w:before="240" w:after="160"/>
        <w:ind w:hanging="567" w:left="1134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Świadczenia są realizowane po wcześniejszej rejestracji w ustalonych terminach, a pacjent zobowiązany jest do terminowego stawiania się na wizyty oraz niezwłocznego informowania o niemożności ich odbycia.</w:t>
      </w:r>
    </w:p>
    <w:p>
      <w:pPr>
        <w:pStyle w:val="ListParagraph"/>
        <w:numPr>
          <w:ilvl w:val="1"/>
          <w:numId w:val="1"/>
        </w:numPr>
        <w:spacing w:before="240" w:after="160"/>
        <w:ind w:hanging="567" w:left="1134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Rejestracja pacjentów odbywa się osobiście, telefonicznie pod numerem </w:t>
      </w:r>
      <w:r>
        <w:rPr>
          <w:rFonts w:cs="Arial" w:ascii="Arial" w:hAnsi="Arial"/>
          <w:sz w:val="20"/>
          <w:szCs w:val="20"/>
        </w:rPr>
        <w:t>530211111</w:t>
      </w:r>
      <w:r>
        <w:rPr>
          <w:rFonts w:cs="Arial" w:ascii="Arial" w:hAnsi="Arial"/>
          <w:sz w:val="20"/>
          <w:szCs w:val="20"/>
        </w:rPr>
        <w:t xml:space="preserve"> lub za pośrednictwem formularza kontaktowego udostępnionego na stronie internetowej Podmiotu Leczniczego. Pacjent zobowiązany jest podać dane kontaktowe umożliwiające komunikację z Podmiotem Leczniczym. </w:t>
      </w:r>
    </w:p>
    <w:p>
      <w:pPr>
        <w:pStyle w:val="ListParagraph"/>
        <w:numPr>
          <w:ilvl w:val="1"/>
          <w:numId w:val="1"/>
        </w:numPr>
        <w:spacing w:before="240" w:after="160"/>
        <w:ind w:hanging="567" w:left="1134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Świadczenia udzielane są według kolejności zgłoszeń, z wyjątkiem przypadków wymagających niezwłocznej pomocy medycznej.</w:t>
      </w:r>
    </w:p>
    <w:p>
      <w:pPr>
        <w:pStyle w:val="ListParagraph"/>
        <w:numPr>
          <w:ilvl w:val="1"/>
          <w:numId w:val="1"/>
        </w:numPr>
        <w:spacing w:before="240" w:after="160"/>
        <w:ind w:hanging="567" w:left="1134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Podmiot Leczniczy dokłada starań, aby wizyty odbywały się zgodnie z harmonogramem, zastrzegając możliwość zmiany terminu z przyczyn medycznych, organizacyjnych lub niezależnych od Podmiotu Leczniczego, o czym pacjent zostanie niezwłocznie poinformowany.</w:t>
      </w:r>
    </w:p>
    <w:p>
      <w:pPr>
        <w:pStyle w:val="ListParagraph"/>
        <w:numPr>
          <w:ilvl w:val="1"/>
          <w:numId w:val="1"/>
        </w:numPr>
        <w:spacing w:before="240" w:after="160"/>
        <w:ind w:hanging="567" w:left="1134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Przed udzieleniem świadczenia lekarz przeprowadza niezbędną diagnostykę oraz informuje pacjenta o planowanym leczeniu, jego ryzyku, przewidywanym czasie trwania i kosztach. </w:t>
      </w:r>
    </w:p>
    <w:p>
      <w:pPr>
        <w:pStyle w:val="ListParagraph"/>
        <w:numPr>
          <w:ilvl w:val="1"/>
          <w:numId w:val="1"/>
        </w:numPr>
        <w:spacing w:before="240" w:after="160"/>
        <w:ind w:hanging="567" w:left="1134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Informacje o stanie zdrowia pacjenta są udzielane wyłącznie osobom uprawnionym, a dane pacjentów są przetwarzane i chronione zgodnie z obowiązującymi przepisami prawa. </w:t>
      </w:r>
    </w:p>
    <w:p>
      <w:pPr>
        <w:pStyle w:val="ListParagraph"/>
        <w:numPr>
          <w:ilvl w:val="1"/>
          <w:numId w:val="1"/>
        </w:numPr>
        <w:spacing w:before="240" w:after="160"/>
        <w:ind w:hanging="567" w:left="1134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Pacjent ma prawo w każdym czasie zrezygnować z leczenia lub cofnąć zgodę na jego kontynuację.</w:t>
      </w:r>
    </w:p>
    <w:p>
      <w:pPr>
        <w:pStyle w:val="ListParagraph"/>
        <w:numPr>
          <w:ilvl w:val="1"/>
          <w:numId w:val="1"/>
        </w:numPr>
        <w:spacing w:before="240" w:after="160"/>
        <w:ind w:hanging="567" w:left="1134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Podmiot Leczniczy może odmówić dalszego leczenia, jeżeli pacjent nie kwalifikuje się do niego ze względów medycznych. </w:t>
      </w:r>
    </w:p>
    <w:p>
      <w:pPr>
        <w:pStyle w:val="ListParagraph"/>
        <w:numPr>
          <w:ilvl w:val="1"/>
          <w:numId w:val="1"/>
        </w:numPr>
        <w:spacing w:before="240" w:after="160"/>
        <w:ind w:hanging="567" w:left="1134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 przypadku przerwania leczenia z przyczyn niezależnych od Podmiotu Leczniczego wpłacone środki podlegają rozliczeniu według kosztów faktycznie wykonanych świadczeń.</w:t>
      </w:r>
    </w:p>
    <w:p>
      <w:pPr>
        <w:pStyle w:val="Normal"/>
        <w:spacing w:before="240" w:after="160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before="240" w:after="160"/>
        <w:contextualSpacing w:val="false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ORGANIZACJA I ZADANIA JEDNOSTEK OGRANIZACYJNYCH</w:t>
      </w:r>
    </w:p>
    <w:p>
      <w:pPr>
        <w:pStyle w:val="ListParagraph"/>
        <w:numPr>
          <w:ilvl w:val="1"/>
          <w:numId w:val="1"/>
        </w:numPr>
        <w:spacing w:before="240" w:after="160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Jednostki i komórki organizacyjne Podmiotu Leczniczego współpracują ze sobą w celu zapewnienia prawidłowego funkcjonowania Podmiotu Leczniczego oraz ciągłości i jakości udzielanych świadczeń zdrowotnych.</w:t>
      </w:r>
    </w:p>
    <w:p>
      <w:pPr>
        <w:pStyle w:val="ListParagraph"/>
        <w:numPr>
          <w:ilvl w:val="1"/>
          <w:numId w:val="1"/>
        </w:numPr>
        <w:spacing w:before="240" w:after="160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Jednostki organizacyjne realizują następujące zadania:</w:t>
      </w:r>
    </w:p>
    <w:p>
      <w:pPr>
        <w:pStyle w:val="ListParagraph"/>
        <w:numPr>
          <w:ilvl w:val="2"/>
          <w:numId w:val="1"/>
        </w:numPr>
        <w:spacing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udzielanie świadczeń zdrowotnych;</w:t>
      </w:r>
    </w:p>
    <w:p>
      <w:pPr>
        <w:pStyle w:val="ListParagraph"/>
        <w:numPr>
          <w:ilvl w:val="2"/>
          <w:numId w:val="1"/>
        </w:numPr>
        <w:spacing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prowadzenie dokumentacji medycznej zgodnie z właściwymi przepisami prawa;</w:t>
      </w:r>
    </w:p>
    <w:p>
      <w:pPr>
        <w:pStyle w:val="ListParagraph"/>
        <w:numPr>
          <w:ilvl w:val="2"/>
          <w:numId w:val="1"/>
        </w:numPr>
        <w:spacing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dbałość o przestrzeganie praw pacjenta;</w:t>
      </w:r>
    </w:p>
    <w:p>
      <w:pPr>
        <w:pStyle w:val="ListParagraph"/>
        <w:numPr>
          <w:ilvl w:val="2"/>
          <w:numId w:val="1"/>
        </w:numPr>
        <w:spacing w:before="240" w:after="160"/>
        <w:ind w:hanging="850" w:left="170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systematyczne dążenie do doskonalenia kwalifikacji zawodowych personelu oraz jakości świadczonych usług.</w:t>
      </w:r>
    </w:p>
    <w:p>
      <w:pPr>
        <w:pStyle w:val="Normal"/>
        <w:spacing w:before="240" w:after="1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before="240" w:after="160"/>
        <w:contextualSpacing w:val="false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WARUNKI WSPÓŁPRACY Z INNYMI PODMIOTAMI LECZNICZYMI</w:t>
      </w:r>
    </w:p>
    <w:p>
      <w:pPr>
        <w:pStyle w:val="ListParagraph"/>
        <w:numPr>
          <w:ilvl w:val="1"/>
          <w:numId w:val="1"/>
        </w:numPr>
        <w:spacing w:before="240" w:after="160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W celu zapewnienia prawidłowego procesu diagnostycznego i leczniczego Podmiot Leczniczy może kierować pacjentów do innych placówek medycznych w zakresie świadczeń niedostępnych u siebie, a niezbędnych do leczenia pacjenta. </w:t>
      </w:r>
    </w:p>
    <w:p>
      <w:pPr>
        <w:pStyle w:val="ListParagraph"/>
        <w:numPr>
          <w:ilvl w:val="1"/>
          <w:numId w:val="1"/>
        </w:numPr>
        <w:spacing w:before="240" w:after="160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Podmiot Leczniczy może również współpracować z innymi podmiotami wykonującymi działalność leczniczą, jeżeli jest to uzasadnione potrzebami procesu leczenia.</w:t>
      </w:r>
    </w:p>
    <w:p>
      <w:pPr>
        <w:pStyle w:val="ListParagraph"/>
        <w:spacing w:before="240" w:after="160"/>
        <w:ind w:left="792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before="240" w:after="160"/>
        <w:contextualSpacing w:val="false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UDOSTĘPNIANIE DOKUMENTACJI MEDYCZNEJ</w:t>
      </w:r>
    </w:p>
    <w:p>
      <w:pPr>
        <w:pStyle w:val="ListParagraph"/>
        <w:numPr>
          <w:ilvl w:val="1"/>
          <w:numId w:val="1"/>
        </w:numPr>
        <w:spacing w:before="240" w:after="160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Dokumentacja medyczna jest udostępniana osobom uprawnionym zgodnie z obowiązującymi przepisami prawa, w szczególności do wglądu, w formie kopii, wydruków lub drogą elektroniczną. </w:t>
      </w:r>
    </w:p>
    <w:p>
      <w:pPr>
        <w:pStyle w:val="ListParagraph"/>
        <w:numPr>
          <w:ilvl w:val="1"/>
          <w:numId w:val="1"/>
        </w:numPr>
        <w:spacing w:before="240" w:after="160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Udostępnienie dokumentacji do wglądu następuje w uzgodnionym terminie. </w:t>
      </w:r>
    </w:p>
    <w:p>
      <w:pPr>
        <w:pStyle w:val="ListParagraph"/>
        <w:numPr>
          <w:ilvl w:val="1"/>
          <w:numId w:val="1"/>
        </w:numPr>
        <w:spacing w:before="240" w:after="160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Zasady i wysokość opłat za udostępnianie dokumentacji określają obowiązujące przepisy prawa.</w:t>
      </w:r>
    </w:p>
    <w:p>
      <w:pPr>
        <w:pStyle w:val="ListParagraph"/>
        <w:numPr>
          <w:ilvl w:val="1"/>
          <w:numId w:val="1"/>
        </w:numPr>
        <w:spacing w:before="240" w:after="160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Opłat nie pobiera się w przypadkach przewidzianych przepisami prawa, w tym za pierwsze udostępnienie dokumentacji pacjentowi lub jego przedstawicielowi ustawowemu w żądanym zakresie.</w:t>
      </w:r>
    </w:p>
    <w:p>
      <w:pPr>
        <w:pStyle w:val="Normal"/>
        <w:spacing w:before="240" w:after="16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before="240" w:after="160"/>
        <w:contextualSpacing w:val="false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WYSOKOŚĆ OPŁAT ORAZ ORGANIZACJA UDZIELANIA ŚWIADCZEŃ ODPŁATNYCH</w:t>
      </w:r>
    </w:p>
    <w:p>
      <w:pPr>
        <w:pStyle w:val="ListParagraph"/>
        <w:numPr>
          <w:ilvl w:val="1"/>
          <w:numId w:val="1"/>
        </w:numPr>
        <w:spacing w:before="240" w:after="160"/>
        <w:ind w:hanging="491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Świadczenia zdrowotne są odpłatne i realizowane zgodnie z aktualnym cennikiem dostępnym w Podmiocie Leczniczym. </w:t>
      </w:r>
    </w:p>
    <w:p>
      <w:pPr>
        <w:pStyle w:val="ListParagraph"/>
        <w:numPr>
          <w:ilvl w:val="1"/>
          <w:numId w:val="1"/>
        </w:numPr>
        <w:spacing w:before="240" w:after="160"/>
        <w:ind w:hanging="491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Koszt leczenia zależy od rodzaju i zakresu świadczeń ustalonych przez lekarza prowadzącego w porozumieniu z pacjentem. </w:t>
      </w:r>
    </w:p>
    <w:p>
      <w:pPr>
        <w:pStyle w:val="ListParagraph"/>
        <w:numPr>
          <w:ilvl w:val="1"/>
          <w:numId w:val="1"/>
        </w:numPr>
        <w:spacing w:before="240" w:after="160"/>
        <w:ind w:hanging="491" w:left="851"/>
        <w:contextualSpacing w:val="false"/>
        <w:jc w:val="both"/>
        <w:rPr>
          <w:rFonts w:ascii="Arial" w:hAnsi="Arial" w:cs="Arial"/>
          <w:sz w:val="20"/>
          <w:szCs w:val="20"/>
        </w:rPr>
      </w:pPr>
      <w:commentRangeStart w:id="0"/>
      <w:r>
        <w:rPr>
          <w:rFonts w:cs="Arial" w:ascii="Arial" w:hAnsi="Arial"/>
          <w:sz w:val="20"/>
          <w:szCs w:val="20"/>
        </w:rPr>
        <w:t>Płatność następuje co do zasady po każdej wizycie, przy czym w przypadku wybranych świadczeń może być wymagana wcześniejsza wpłata zaliczki lub zadatku, o czym pacjent jest informowany przed rozpoczęciem leczenia</w:t>
      </w:r>
      <w:r>
        <w:rPr>
          <w:rFonts w:cs="Arial" w:ascii="Arial" w:hAnsi="Arial"/>
          <w:sz w:val="20"/>
          <w:szCs w:val="20"/>
        </w:rPr>
      </w:r>
      <w:commentRangeEnd w:id="0"/>
      <w:r>
        <w:commentReference w:id="0"/>
      </w:r>
      <w:r>
        <w:rPr>
          <w:rFonts w:cs="Arial" w:ascii="Arial" w:hAnsi="Arial"/>
          <w:sz w:val="20"/>
          <w:szCs w:val="20"/>
        </w:rPr>
        <w:t>.</w:t>
      </w:r>
    </w:p>
    <w:p>
      <w:pPr>
        <w:pStyle w:val="Normal"/>
        <w:spacing w:before="240" w:after="16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before="240" w:after="160"/>
        <w:contextualSpacing w:val="false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PROCEDURA SKŁADANIA SKARG</w:t>
      </w:r>
    </w:p>
    <w:p>
      <w:pPr>
        <w:pStyle w:val="ListParagraph"/>
        <w:numPr>
          <w:ilvl w:val="1"/>
          <w:numId w:val="1"/>
        </w:numPr>
        <w:spacing w:before="240" w:after="160"/>
        <w:ind w:hanging="491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Pacjent lub jego przedstawiciel ustawowy ma prawo złożyć skargę dotyczącą działalności Podmiotu Leczniczego, Zakładu Leczniczego lub jego personelu, w szczególności w zakresie naruszenia praw pacjenta.</w:t>
      </w:r>
    </w:p>
    <w:p>
      <w:pPr>
        <w:pStyle w:val="ListParagraph"/>
        <w:numPr>
          <w:ilvl w:val="1"/>
          <w:numId w:val="1"/>
        </w:numPr>
        <w:spacing w:before="240" w:after="160"/>
        <w:ind w:hanging="491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Skarga może zostać złożona osobiście, pocztą na adres Podmiotu Lecznczego, telefonicznie na numer </w:t>
      </w:r>
      <w:r>
        <w:rPr>
          <w:rFonts w:cs="Arial" w:ascii="Arial" w:hAnsi="Arial"/>
          <w:sz w:val="20"/>
          <w:szCs w:val="20"/>
        </w:rPr>
        <w:t>530211111</w:t>
      </w:r>
      <w:r>
        <w:rPr>
          <w:rFonts w:cs="Arial" w:ascii="Arial" w:hAnsi="Arial"/>
          <w:sz w:val="20"/>
          <w:szCs w:val="20"/>
        </w:rPr>
        <w:t xml:space="preserve"> lub drogą elektroniczną na adres </w:t>
      </w:r>
      <w:r>
        <w:rPr>
          <w:rFonts w:cs="Arial" w:ascii="Arial" w:hAnsi="Arial"/>
          <w:sz w:val="20"/>
          <w:szCs w:val="20"/>
        </w:rPr>
        <w:t>gabinet@dentaldoctor.pl</w:t>
      </w:r>
    </w:p>
    <w:p>
      <w:pPr>
        <w:pStyle w:val="ListParagraph"/>
        <w:numPr>
          <w:ilvl w:val="1"/>
          <w:numId w:val="1"/>
        </w:numPr>
        <w:spacing w:before="240" w:after="160"/>
        <w:ind w:hanging="491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Podmiot Leczniczy rozpatruje skargi i informuje skarżącego o sposobie ich załatwienia w terminie 14 dni od dnia ich otrzymania, chyba że z przyczyn niezależnych dochowanie tego terminu nie jest możliwe. W takim przypadku skarżący zostanie o tym poinformowany.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Unknown" w:date="0-00-00T00:00:00Z" w:initials="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kern w:val="0"/>
          <w:sz w:val="24"/>
          <w:szCs w:val="24"/>
          <w:lang w:val="en-US" w:eastAsia="en-US" w:bidi="en-US"/>
        </w:rPr>
        <w:t>Prosimy o potwierdzenie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rFonts w:cs="Arial" w:ascii="Arial" w:hAnsi="Arial"/>
        <w:sz w:val="10"/>
      </w:rPr>
      <w:fldChar w:fldCharType="begin"/>
    </w:r>
    <w:r>
      <w:rPr>
        <w:sz w:val="10"/>
        <w:rFonts w:cs="Arial" w:ascii="Arial" w:hAnsi="Arial"/>
      </w:rPr>
      <w:instrText xml:space="preserve"> DOCPROPERTY "DMFooter"</w:instrText>
    </w:r>
    <w:r>
      <w:rPr>
        <w:sz w:val="10"/>
        <w:rFonts w:cs="Arial" w:ascii="Arial" w:hAnsi="Arial"/>
      </w:rPr>
      <w:fldChar w:fldCharType="separate"/>
    </w:r>
    <w:r>
      <w:rPr>
        <w:sz w:val="10"/>
        <w:rFonts w:cs="Arial" w:ascii="Arial" w:hAnsi="Arial"/>
      </w:rPr>
      <w:t>WS1401.3701536.2</w:t>
    </w:r>
    <w:r>
      <w:rPr>
        <w:sz w:val="10"/>
        <w:rFonts w:cs="Arial" w:ascii="Arial" w:hAnsi="Arial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36301937"/>
    </w:sdtPr>
    <w:sdtContent>
      <w:p>
        <w:pPr>
          <w:pStyle w:val="Footer"/>
          <w:jc w:val="right"/>
          <w:rPr>
            <w:rFonts w:ascii="Arial" w:hAnsi="Arial" w:eastAsia="" w:cs="Arial" w:eastAsiaTheme="majorEastAsia"/>
            <w:sz w:val="18"/>
            <w:szCs w:val="18"/>
          </w:rPr>
        </w:pPr>
        <w:r>
          <w:rPr>
            <w:rFonts w:eastAsia="" w:cs="Arial" w:ascii="Arial" w:hAnsi="Arial" w:eastAsiaTheme="majorEastAsia"/>
            <w:sz w:val="18"/>
            <w:szCs w:val="18"/>
          </w:rPr>
          <w:t xml:space="preserve">str. </w:t>
        </w:r>
        <w:r>
          <w:rPr>
            <w:rFonts w:eastAsia="" w:cs="Arial" w:ascii="Arial" w:hAnsi="Arial"/>
            <w:sz w:val="18"/>
            <w:szCs w:val="18"/>
          </w:rPr>
          <w:fldChar w:fldCharType="begin"/>
        </w:r>
        <w:r>
          <w:rPr>
            <w:sz w:val="18"/>
            <w:szCs w:val="18"/>
            <w:rFonts w:eastAsia="" w:cs="Arial" w:ascii="Arial" w:hAnsi="Arial"/>
          </w:rPr>
          <w:instrText xml:space="preserve"> PAGE </w:instrText>
        </w:r>
        <w:r>
          <w:rPr>
            <w:sz w:val="18"/>
            <w:szCs w:val="18"/>
            <w:rFonts w:eastAsia="" w:cs="Arial" w:ascii="Arial" w:hAnsi="Arial"/>
          </w:rPr>
          <w:fldChar w:fldCharType="separate"/>
        </w:r>
        <w:r>
          <w:rPr>
            <w:sz w:val="18"/>
            <w:szCs w:val="18"/>
            <w:rFonts w:eastAsia="" w:cs="Arial" w:ascii="Arial" w:hAnsi="Arial"/>
          </w:rPr>
          <w:t>5</w:t>
        </w:r>
        <w:r>
          <w:rPr>
            <w:sz w:val="18"/>
            <w:szCs w:val="18"/>
            <w:rFonts w:eastAsia="" w:cs="Arial" w:ascii="Arial" w:hAnsi="Arial"/>
          </w:rPr>
          <w:fldChar w:fldCharType="end"/>
        </w:r>
      </w:p>
    </w:sdtContent>
  </w:sdt>
  <w:p>
    <w:pPr>
      <w:pStyle w:val="Footer"/>
      <w:rPr/>
    </w:pPr>
    <w:r>
      <w:rPr>
        <w:rFonts w:cs="Arial" w:ascii="Arial" w:hAnsi="Arial"/>
        <w:sz w:val="10"/>
      </w:rPr>
      <w:fldChar w:fldCharType="begin"/>
    </w:r>
    <w:r>
      <w:rPr>
        <w:sz w:val="10"/>
        <w:rFonts w:cs="Arial" w:ascii="Arial" w:hAnsi="Arial"/>
      </w:rPr>
      <w:instrText xml:space="preserve"> DOCPROPERTY "DMFooter"</w:instrText>
    </w:r>
    <w:r>
      <w:rPr>
        <w:sz w:val="10"/>
        <w:rFonts w:cs="Arial" w:ascii="Arial" w:hAnsi="Arial"/>
      </w:rPr>
      <w:fldChar w:fldCharType="separate"/>
    </w:r>
    <w:r>
      <w:rPr>
        <w:sz w:val="10"/>
        <w:rFonts w:cs="Arial" w:ascii="Arial" w:hAnsi="Arial"/>
      </w:rPr>
      <w:t>WS1401.3701536.2</w:t>
    </w:r>
    <w:r>
      <w:rPr>
        <w:sz w:val="10"/>
        <w:rFonts w:cs="Arial" w:ascii="Arial" w:hAnsi="Arial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36301937"/>
    </w:sdtPr>
    <w:sdtContent>
      <w:p>
        <w:pPr>
          <w:pStyle w:val="Footer"/>
          <w:jc w:val="right"/>
          <w:rPr>
            <w:rFonts w:ascii="Arial" w:hAnsi="Arial" w:eastAsia="" w:cs="Arial" w:eastAsiaTheme="majorEastAsia"/>
            <w:sz w:val="18"/>
            <w:szCs w:val="18"/>
          </w:rPr>
        </w:pPr>
        <w:r>
          <w:rPr>
            <w:rFonts w:eastAsia="" w:cs="Arial" w:ascii="Arial" w:hAnsi="Arial" w:eastAsiaTheme="majorEastAsia"/>
            <w:sz w:val="18"/>
            <w:szCs w:val="18"/>
          </w:rPr>
          <w:t xml:space="preserve">str. </w:t>
        </w:r>
        <w:r>
          <w:rPr>
            <w:rFonts w:eastAsia="" w:cs="Arial" w:ascii="Arial" w:hAnsi="Arial"/>
            <w:sz w:val="18"/>
            <w:szCs w:val="18"/>
          </w:rPr>
          <w:fldChar w:fldCharType="begin"/>
        </w:r>
        <w:r>
          <w:rPr>
            <w:sz w:val="18"/>
            <w:szCs w:val="18"/>
            <w:rFonts w:eastAsia="" w:cs="Arial" w:ascii="Arial" w:hAnsi="Arial"/>
          </w:rPr>
          <w:instrText xml:space="preserve"> PAGE </w:instrText>
        </w:r>
        <w:r>
          <w:rPr>
            <w:sz w:val="18"/>
            <w:szCs w:val="18"/>
            <w:rFonts w:eastAsia="" w:cs="Arial" w:ascii="Arial" w:hAnsi="Arial"/>
          </w:rPr>
          <w:fldChar w:fldCharType="separate"/>
        </w:r>
        <w:r>
          <w:rPr>
            <w:sz w:val="18"/>
            <w:szCs w:val="18"/>
            <w:rFonts w:eastAsia="" w:cs="Arial" w:ascii="Arial" w:hAnsi="Arial"/>
          </w:rPr>
          <w:t>5</w:t>
        </w:r>
        <w:r>
          <w:rPr>
            <w:sz w:val="18"/>
            <w:szCs w:val="18"/>
            <w:rFonts w:eastAsia="" w:cs="Arial" w:ascii="Arial" w:hAnsi="Arial"/>
          </w:rPr>
          <w:fldChar w:fldCharType="end"/>
        </w:r>
      </w:p>
    </w:sdtContent>
  </w:sdt>
  <w:p>
    <w:pPr>
      <w:pStyle w:val="Footer"/>
      <w:rPr/>
    </w:pPr>
    <w:r>
      <w:rPr>
        <w:rFonts w:cs="Arial" w:ascii="Arial" w:hAnsi="Arial"/>
        <w:sz w:val="10"/>
      </w:rPr>
      <w:fldChar w:fldCharType="begin"/>
    </w:r>
    <w:r>
      <w:rPr>
        <w:sz w:val="10"/>
        <w:rFonts w:cs="Arial" w:ascii="Arial" w:hAnsi="Arial"/>
      </w:rPr>
      <w:instrText xml:space="preserve"> DOCPROPERTY "DMFooter"</w:instrText>
    </w:r>
    <w:r>
      <w:rPr>
        <w:sz w:val="10"/>
        <w:rFonts w:cs="Arial" w:ascii="Arial" w:hAnsi="Arial"/>
      </w:rPr>
      <w:fldChar w:fldCharType="separate"/>
    </w:r>
    <w:r>
      <w:rPr>
        <w:sz w:val="10"/>
        <w:rFonts w:cs="Arial" w:ascii="Arial" w:hAnsi="Arial"/>
      </w:rPr>
      <w:t>WS1401.3701536.2</w:t>
    </w:r>
    <w:r>
      <w:rPr>
        <w:sz w:val="10"/>
        <w:rFonts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30920"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092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92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92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92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92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92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92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920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920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b3092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uiPriority w:val="9"/>
    <w:semiHidden/>
    <w:qFormat/>
    <w:rsid w:val="00b3092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uiPriority w:val="9"/>
    <w:semiHidden/>
    <w:qFormat/>
    <w:rsid w:val="00b30920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uiPriority w:val="9"/>
    <w:semiHidden/>
    <w:qFormat/>
    <w:rsid w:val="00b30920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uiPriority w:val="9"/>
    <w:semiHidden/>
    <w:qFormat/>
    <w:rsid w:val="00b30920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uiPriority w:val="9"/>
    <w:semiHidden/>
    <w:qFormat/>
    <w:rsid w:val="00b30920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semiHidden/>
    <w:qFormat/>
    <w:rsid w:val="00b30920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semiHidden/>
    <w:qFormat/>
    <w:rsid w:val="00b30920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semiHidden/>
    <w:qFormat/>
    <w:rsid w:val="00b30920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sid w:val="00b3092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sid w:val="00b30920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b3092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b30920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b30920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b30920"/>
    <w:rPr>
      <w:b/>
      <w:bCs/>
      <w:smallCaps/>
      <w:color w:themeColor="accent1" w:themeShade="bf" w:val="0F4761"/>
      <w:spacing w:val="5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b30920"/>
    <w:rPr>
      <w:sz w:val="16"/>
      <w:szCs w:val="16"/>
    </w:rPr>
  </w:style>
  <w:style w:type="character" w:styleId="CommentTextChar" w:customStyle="1">
    <w:name w:val="Comment Text Char"/>
    <w:basedOn w:val="DefaultParagraphFont"/>
    <w:link w:val="Annotationtext"/>
    <w:uiPriority w:val="99"/>
    <w:qFormat/>
    <w:rsid w:val="00b30920"/>
    <w:rPr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7c7266"/>
    <w:rPr>
      <w:sz w:val="22"/>
      <w:szCs w:val="22"/>
    </w:rPr>
  </w:style>
  <w:style w:type="character" w:styleId="FooterChar" w:customStyle="1">
    <w:name w:val="Footer Char"/>
    <w:basedOn w:val="DefaultParagraphFont"/>
    <w:uiPriority w:val="99"/>
    <w:qFormat/>
    <w:rsid w:val="007c7266"/>
    <w:rPr>
      <w:sz w:val="22"/>
      <w:szCs w:val="22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47633b"/>
    <w:rPr>
      <w:b/>
      <w:bCs/>
      <w:sz w:val="20"/>
      <w:szCs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Normal"/>
    <w:uiPriority w:val="99"/>
    <w:semiHidden/>
    <w:unhideWhenUsed/>
    <w:rsid w:val="003d4c0e"/>
    <w:pPr>
      <w:spacing w:before="0" w:after="160"/>
      <w:ind w:hanging="360" w:left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b30920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920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0920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b30920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b30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Annotationtext">
    <w:name w:val="annotation text"/>
    <w:basedOn w:val="Normal"/>
    <w:link w:val="CommentTextChar"/>
    <w:uiPriority w:val="99"/>
    <w:unhideWhenUsed/>
    <w:qFormat/>
    <w:rsid w:val="00b30920"/>
    <w:pPr>
      <w:spacing w:lineRule="auto" w:line="240"/>
    </w:pPr>
    <w:rPr>
      <w:sz w:val="20"/>
      <w:szCs w:val="20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7c726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7c726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Continue3">
    <w:name w:val="List Continue 3"/>
    <w:basedOn w:val="Normal"/>
    <w:uiPriority w:val="99"/>
    <w:semiHidden/>
    <w:unhideWhenUsed/>
    <w:rsid w:val="003d4c0e"/>
    <w:pPr>
      <w:spacing w:before="0" w:after="120"/>
      <w:ind w:left="1080"/>
      <w:contextualSpacing/>
    </w:pPr>
    <w:rPr/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47633b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comments" Target="comment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44</TotalTime>
  <Application>LibreOffice/7.6.0.3$Windows_X86_64 LibreOffice_project/69edd8b8ebc41d00b4de3915dc82f8f0fc3b6265</Application>
  <AppVersion>15.0000</AppVersion>
  <Pages>5</Pages>
  <Words>1179</Words>
  <Characters>8532</Characters>
  <CharactersWithSpaces>9559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1899-12-31T23:00:00Z</dcterms:created>
  <dc:creator/>
  <dc:description/>
  <dc:language>pl-PL</dc:language>
  <cp:lastModifiedBy/>
  <dcterms:modified xsi:type="dcterms:W3CDTF">2026-09-07T20:11:54Z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Footer">
    <vt:lpwstr>WS1401.3701536.2</vt:lpwstr>
  </property>
  <property fmtid="{D5CDD505-2E9C-101B-9397-08002B2CF9AE}" pid="3" name="FooterParam">
    <vt:lpwstr>SHOW</vt:lpwstr>
  </property>
</Properties>
</file>